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D" w:rsidRDefault="0078755B"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F021EBD" wp14:editId="4F620D8E">
            <wp:simplePos x="0" y="0"/>
            <wp:positionH relativeFrom="column">
              <wp:posOffset>1945005</wp:posOffset>
            </wp:positionH>
            <wp:positionV relativeFrom="paragraph">
              <wp:posOffset>-170900</wp:posOffset>
            </wp:positionV>
            <wp:extent cx="1528445" cy="681990"/>
            <wp:effectExtent l="0" t="0" r="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43838" r="62204" b="48165"/>
                    <a:stretch/>
                  </pic:blipFill>
                  <pic:spPr bwMode="auto">
                    <a:xfrm>
                      <a:off x="0" y="0"/>
                      <a:ext cx="1528445" cy="68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C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FDB90" wp14:editId="2E66F642">
                <wp:simplePos x="0" y="0"/>
                <wp:positionH relativeFrom="column">
                  <wp:posOffset>-264170</wp:posOffset>
                </wp:positionH>
                <wp:positionV relativeFrom="paragraph">
                  <wp:posOffset>-365343</wp:posOffset>
                </wp:positionV>
                <wp:extent cx="1398895" cy="539086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539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890" w:rsidRDefault="006B4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0.8pt;margin-top:-28.75pt;width:110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" stroked="f">
                <v:textbox>
                  <w:txbxContent>
                    <w:p w:rsidR="006B4890" w:rsidRDefault="006B4890"/>
                  </w:txbxContent>
                </v:textbox>
              </v:shape>
            </w:pict>
          </mc:Fallback>
        </mc:AlternateContent>
      </w:r>
      <w:r w:rsidR="00EE22DB" w:rsidRPr="00EE22DB">
        <w:rPr>
          <w:noProof/>
          <w:lang w:eastAsia="tr-TR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97A" w:rsidRPr="0018559D" w:rsidTr="00083D35">
        <w:tc>
          <w:tcPr>
            <w:tcW w:w="5000" w:type="pct"/>
            <w:hideMark/>
          </w:tcPr>
          <w:p w:rsidR="0078755B" w:rsidRDefault="0078755B" w:rsidP="007475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tr-TR"/>
              </w:rPr>
            </w:pPr>
          </w:p>
          <w:p w:rsidR="007475C8" w:rsidRPr="007475C8" w:rsidRDefault="0078755B" w:rsidP="007475C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tr-TR"/>
              </w:rPr>
              <w:t>22-25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tr-TR"/>
              </w:rPr>
              <w:t xml:space="preserve"> Ekim</w:t>
            </w:r>
            <w:r w:rsidR="00DA597A" w:rsidRPr="0018559D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tr-TR"/>
              </w:rPr>
              <w:t xml:space="preserve"> 201</w:t>
            </w:r>
            <w:r w:rsidR="00DA597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tr-TR"/>
              </w:rPr>
              <w:t>5</w:t>
            </w:r>
            <w:r w:rsidR="00DA597A" w:rsidRPr="0018559D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tr-TR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tr-TR"/>
              </w:rPr>
              <w:t>DUŞANBE</w:t>
            </w:r>
          </w:p>
          <w:p w:rsidR="004C0ADD" w:rsidRDefault="0078755B" w:rsidP="004C0AD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  <w:proofErr w:type="gramStart"/>
            <w:r w:rsidRPr="0078755B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>22-25</w:t>
            </w:r>
            <w:proofErr w:type="gramEnd"/>
            <w:r w:rsidRPr="0078755B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 xml:space="preserve"> Ekim 2015 tarihlerinde Tacikistan’ın Duşanbe kentinde düzenlenecek olan </w:t>
            </w:r>
            <w:proofErr w:type="spellStart"/>
            <w:r w:rsidRPr="0078755B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>Tojexpo</w:t>
            </w:r>
            <w:proofErr w:type="spellEnd"/>
            <w:r w:rsidRPr="0078755B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8755B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>Autumn</w:t>
            </w:r>
            <w:proofErr w:type="spellEnd"/>
            <w:r w:rsidRPr="0078755B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 xml:space="preserve"> 2015-Uluslararası Endüstri ve Ticaret Fuarının Türkiye Milli Katılım organizasyonu Genel Sekreterliğimiz tarafından gerçekleştirilecektir.</w:t>
            </w:r>
          </w:p>
          <w:p w:rsidR="00DA597A" w:rsidRPr="00EF6F8E" w:rsidRDefault="0078755B" w:rsidP="00083D3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TojExpo</w:t>
            </w:r>
            <w:proofErr w:type="spellEnd"/>
            <w:r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Autumn</w:t>
            </w:r>
            <w:proofErr w:type="spellEnd"/>
            <w:r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2015 </w:t>
            </w:r>
            <w:r w:rsidR="004C0ADD"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Fuarı, </w:t>
            </w:r>
            <w:r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Genel ticaret </w:t>
            </w:r>
            <w:r w:rsidR="00DA597A"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fuar</w:t>
            </w:r>
            <w:r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ı</w:t>
            </w:r>
            <w:r w:rsidR="00DA597A" w:rsidRPr="00D04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olması nedeniyle toplam katılım bedeli ile firma temsilcisi </w:t>
            </w:r>
            <w:r w:rsidR="00DA597A" w:rsidRPr="00EF6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iki kişinin ulaşım bedelinin %50'si </w:t>
            </w:r>
            <w:r w:rsidRPr="00EF6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  <w:r w:rsidR="00DA597A" w:rsidRPr="00EF6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0.000 USD' a kadar destek kapsamındadır.</w:t>
            </w:r>
          </w:p>
          <w:p w:rsidR="00A20812" w:rsidRPr="00EF6F8E" w:rsidRDefault="00A20812" w:rsidP="00A20812">
            <w:pPr>
              <w:pStyle w:val="stbilgi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RF, Kazakistan ve Çin'in ardından Türkiye, Tacikistan’ın d</w:t>
            </w:r>
            <w:r w:rsidR="00A31F67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ördüncü büyük ticaret ortağı olmakla birlikte</w:t>
            </w: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A31F67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ülkemizden Tacikistan’a temel olarak</w:t>
            </w: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muhtelif gıda ürünleri, </w:t>
            </w:r>
            <w:proofErr w:type="gramStart"/>
            <w:r w:rsidR="00250E55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konfeksiyon</w:t>
            </w:r>
            <w:proofErr w:type="gramEnd"/>
            <w:r w:rsidR="00250E55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ve kimyasal ürünler</w:t>
            </w: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ihraç edilmektedir.</w:t>
            </w:r>
          </w:p>
          <w:p w:rsidR="00C82F65" w:rsidRPr="00EF6F8E" w:rsidRDefault="00C82F65" w:rsidP="00A20812">
            <w:pPr>
              <w:pStyle w:val="stbilgi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EF6F8E" w:rsidRDefault="00D04276" w:rsidP="00EF6F8E">
            <w:pPr>
              <w:pStyle w:val="stbilgi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Bahse konu f</w:t>
            </w:r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uarın ilkbahar </w:t>
            </w:r>
            <w:proofErr w:type="gram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versiyonu</w:t>
            </w:r>
            <w:proofErr w:type="gram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her yıl Nisan ayında düzenlenmekle birlikte Tacikistan’ın en önemli fuarlarındandır. Fuarın sonbahar </w:t>
            </w:r>
            <w:proofErr w:type="gram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versiyonu</w:t>
            </w:r>
            <w:proofErr w:type="gram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olan </w:t>
            </w:r>
            <w:proofErr w:type="spell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Tojexpo</w:t>
            </w:r>
            <w:proofErr w:type="spell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Autumn</w:t>
            </w:r>
            <w:proofErr w:type="spell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ise ilk defa bu yıl düzenlenecektir.</w:t>
            </w:r>
            <w:r w:rsidR="00C82F65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  <w:p w:rsidR="00EF6F8E" w:rsidRPr="00EF6F8E" w:rsidRDefault="00EF6F8E" w:rsidP="00EF6F8E">
            <w:pPr>
              <w:pStyle w:val="stbilgi"/>
              <w:tabs>
                <w:tab w:val="clear" w:pos="4536"/>
                <w:tab w:val="clear" w:pos="9072"/>
                <w:tab w:val="left" w:pos="5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6B4890" w:rsidRPr="00EF6F8E" w:rsidRDefault="006B4890" w:rsidP="006E24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Fuarın ilkbahar </w:t>
            </w:r>
            <w:proofErr w:type="gramStart"/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versiyonu</w:t>
            </w:r>
            <w:proofErr w:type="gramEnd"/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olan </w:t>
            </w:r>
            <w:proofErr w:type="spellStart"/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TojExpo</w:t>
            </w:r>
            <w:proofErr w:type="spellEnd"/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Spring fuarın</w:t>
            </w:r>
            <w:r w:rsidR="00A86272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</w:t>
            </w: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</w:t>
            </w:r>
            <w:r w:rsidR="00A86272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pek çok ülkeden</w:t>
            </w: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100’den fazla katılım</w:t>
            </w:r>
            <w:r w:rsidR="00A86272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cı yer almış olup, </w:t>
            </w: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A86272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Orta Asya coğrafyası başta olmak üzere</w:t>
            </w:r>
            <w:r w:rsid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fuar </w:t>
            </w:r>
            <w:r w:rsidR="00A86272"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uluslararası ziyaretçilerce ilgi görmüştür. </w:t>
            </w:r>
            <w:r w:rsidRPr="00EF6F8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  <w:p w:rsidR="00D04276" w:rsidRDefault="00D04276" w:rsidP="006E24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TojExpo</w:t>
            </w:r>
            <w:proofErr w:type="spell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Autumn</w:t>
            </w:r>
            <w:proofErr w:type="spell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2015 fuarı </w:t>
            </w:r>
            <w:proofErr w:type="gram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dahilinde</w:t>
            </w:r>
            <w:proofErr w:type="gram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HomeExpo</w:t>
            </w:r>
            <w:proofErr w:type="spell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(Ev Gereçleri, İhtiyaç Malzemeleri ve Mobilya Fuarı), </w:t>
            </w:r>
            <w:proofErr w:type="spell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AutoExpo</w:t>
            </w:r>
            <w:proofErr w:type="spell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(Araba Sanayii ve Ürünleri Fuarı), </w:t>
            </w:r>
            <w:proofErr w:type="spell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AgroWorld</w:t>
            </w:r>
            <w:proofErr w:type="spell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(Tarım ve Çiftçilik Sanayii ve Ürünleri Fuarı), </w:t>
            </w:r>
            <w:proofErr w:type="spellStart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FoodWorld</w:t>
            </w:r>
            <w:proofErr w:type="spellEnd"/>
            <w:r w:rsidRPr="00D042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(Gıda Sanayii ve Ürünleri Fuarı) şeklinde dört farklı sergi alanı oluşturulacaktır. </w:t>
            </w:r>
          </w:p>
          <w:p w:rsidR="006B4890" w:rsidRPr="00F466F5" w:rsidRDefault="006B4890" w:rsidP="006E24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1.000 m</w:t>
            </w:r>
            <w:r w:rsidRPr="00F466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tr-TR"/>
              </w:rPr>
              <w:t>2</w:t>
            </w:r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’nin üzerinde kapalı alan, 1.000 m</w:t>
            </w:r>
            <w:r w:rsidRPr="00F466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tr-TR"/>
              </w:rPr>
              <w:t>2</w:t>
            </w:r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’nin üzerinde açık alanda gerçekleştirilecek olan </w:t>
            </w:r>
            <w:proofErr w:type="spellStart"/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Tojexpo</w:t>
            </w:r>
            <w:proofErr w:type="spellEnd"/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Autumn</w:t>
            </w:r>
            <w:proofErr w:type="spellEnd"/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fuarın</w:t>
            </w:r>
            <w:r w:rsidR="00F466F5"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</w:t>
            </w:r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a,  </w:t>
            </w:r>
            <w:r w:rsidR="00F466F5"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farklı coğrafyalardan katılımcıların yer alması</w:t>
            </w:r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beklenmektedir. 100’den fazla katılımcı ile düzenlenmesi beklenen fuarı</w:t>
            </w:r>
            <w:r w:rsidR="00F466F5"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</w:t>
            </w:r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9B5F6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  <w:bookmarkStart w:id="0" w:name="_GoBack"/>
            <w:bookmarkEnd w:id="0"/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.000’in üzerinde </w:t>
            </w:r>
            <w:r w:rsidR="00F466F5"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sektör profesyoneli</w:t>
            </w:r>
            <w:r w:rsidRPr="00F466F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tarafından ziyaret edileceği düşünülmektedir.</w:t>
            </w:r>
          </w:p>
          <w:p w:rsidR="00DA597A" w:rsidRDefault="00DA597A" w:rsidP="007475C8">
            <w:pPr>
              <w:pStyle w:val="ListeParagraf"/>
              <w:numPr>
                <w:ilvl w:val="0"/>
                <w:numId w:val="2"/>
              </w:num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7475C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FUAR KATILIM BEDELİ (</w:t>
            </w:r>
            <w:r w:rsidR="00FE1E1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402 $</w:t>
            </w:r>
            <w:r w:rsidRPr="007475C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/m2) %50 FUAR DESTEĞİ</w:t>
            </w:r>
          </w:p>
          <w:p w:rsidR="006E249A" w:rsidRPr="007475C8" w:rsidRDefault="006E249A" w:rsidP="007475C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7475C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Fuarda Katılım Ücretine </w:t>
            </w:r>
            <w:proofErr w:type="gramStart"/>
            <w:r w:rsidRPr="007475C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dahil</w:t>
            </w:r>
            <w:proofErr w:type="gramEnd"/>
            <w:r w:rsidRPr="007475C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 olan Hizmetler</w:t>
            </w:r>
          </w:p>
          <w:p w:rsidR="00DA597A" w:rsidRPr="0093099C" w:rsidRDefault="00DA597A" w:rsidP="00083D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Stand</w:t>
            </w:r>
            <w:proofErr w:type="spellEnd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alanının kiralanması</w:t>
            </w:r>
          </w:p>
          <w:p w:rsidR="00DA597A" w:rsidRPr="0093099C" w:rsidRDefault="00DA597A" w:rsidP="00083D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Stand</w:t>
            </w:r>
            <w:proofErr w:type="spellEnd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inşaat ve dekorasyonu, masa, sandalye, …</w:t>
            </w:r>
            <w:proofErr w:type="spellStart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vb</w:t>
            </w:r>
            <w:proofErr w:type="spellEnd"/>
          </w:p>
          <w:p w:rsidR="00DA597A" w:rsidRPr="0093099C" w:rsidRDefault="00DA597A" w:rsidP="00083D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İnternet bağlantısı</w:t>
            </w:r>
          </w:p>
          <w:p w:rsidR="00DA597A" w:rsidRPr="0093099C" w:rsidRDefault="00DA597A" w:rsidP="00083D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Stand</w:t>
            </w:r>
            <w:proofErr w:type="spellEnd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genel ve günlük temizlik hizmeti</w:t>
            </w:r>
          </w:p>
          <w:p w:rsidR="00DA597A" w:rsidRPr="0093099C" w:rsidRDefault="00DA597A" w:rsidP="00083D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Fuar basılı ve </w:t>
            </w:r>
            <w:proofErr w:type="gramStart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online</w:t>
            </w:r>
            <w:proofErr w:type="gramEnd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kataloğunda yer alma</w:t>
            </w:r>
          </w:p>
          <w:p w:rsidR="00DA597A" w:rsidRPr="0093099C" w:rsidRDefault="00DA597A" w:rsidP="00083D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</w:t>
            </w:r>
            <w:r w:rsidRPr="0093099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tr-TR"/>
              </w:rPr>
              <w:t>2</w:t>
            </w:r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baz</w:t>
            </w:r>
            <w:proofErr w:type="gramEnd"/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alınarak ücretsiz fuar giriş kartı</w:t>
            </w:r>
          </w:p>
          <w:p w:rsidR="00DA597A" w:rsidRPr="0093099C" w:rsidRDefault="00DA597A" w:rsidP="00083D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İkram (çay-kahve-kurabiye) hizmetleri</w:t>
            </w:r>
          </w:p>
          <w:p w:rsidR="00D04276" w:rsidRDefault="00DA597A" w:rsidP="00D0427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Nakliye istenmesi durumunda katılım bedeli </w:t>
            </w:r>
            <w:r w:rsidR="00FE1E1E"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555</w:t>
            </w:r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FE1E1E"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$</w:t>
            </w:r>
            <w:r w:rsidRPr="0093099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/m2</w:t>
            </w:r>
          </w:p>
          <w:p w:rsidR="00D04276" w:rsidRDefault="00D04276" w:rsidP="00D0427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DA597A" w:rsidRPr="007475C8" w:rsidRDefault="00DA597A" w:rsidP="007475C8">
            <w:pPr>
              <w:pStyle w:val="ListeParagraf"/>
              <w:numPr>
                <w:ilvl w:val="1"/>
                <w:numId w:val="1"/>
              </w:numPr>
              <w:tabs>
                <w:tab w:val="clear" w:pos="1440"/>
                <w:tab w:val="num" w:pos="284"/>
              </w:tabs>
              <w:spacing w:after="100" w:afterAutospacing="1" w:line="240" w:lineRule="auto"/>
              <w:ind w:left="21" w:hanging="21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  <w:r w:rsidRPr="007475C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FİRMA TEMSİLCİSİ 2 KİŞİYE %50 ULAŞIM DESTEĞİ</w:t>
            </w:r>
          </w:p>
          <w:p w:rsidR="00DA597A" w:rsidRPr="0018559D" w:rsidRDefault="00DA597A" w:rsidP="00083D35">
            <w:pPr>
              <w:spacing w:after="100" w:afterAutospacing="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  <w:lang w:eastAsia="tr-TR"/>
              </w:rPr>
              <w:t>ÖDEME ŞEKLİ</w:t>
            </w:r>
          </w:p>
          <w:p w:rsidR="00DA597A" w:rsidRPr="0018559D" w:rsidRDefault="00DA597A" w:rsidP="00083D35">
            <w:pPr>
              <w:spacing w:after="100" w:afterAutospacing="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Birliğimiz, ihracatçı firmalarımızın fuar ödeme süreçlerinde karşılaşacakları finansman yükünü hafifletme gayesi ile aşağıda detaylandırılan ödeme planını uygulayacaktır. </w:t>
            </w:r>
          </w:p>
          <w:p w:rsidR="00DA597A" w:rsidRPr="0018559D" w:rsidRDefault="00DA597A" w:rsidP="00083D35">
            <w:pPr>
              <w:spacing w:after="100" w:afterAutospacing="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I. Katılım payı toplam bedelinin % 50'lik bölümü </w:t>
            </w:r>
            <w:r w:rsidR="007D3219" w:rsidRPr="007D321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tr-TR"/>
              </w:rPr>
              <w:t>31</w:t>
            </w:r>
            <w:r w:rsidR="00FE1E1E" w:rsidRPr="007D321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tr-TR"/>
              </w:rPr>
              <w:t xml:space="preserve"> Ağustos</w:t>
            </w:r>
            <w:r w:rsidRPr="007D321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tr-TR"/>
              </w:rPr>
              <w:t xml:space="preserve"> 2015 </w:t>
            </w:r>
          </w:p>
          <w:p w:rsidR="008B6F0D" w:rsidRDefault="00DA597A" w:rsidP="00083D3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II. Katılım payı toplam bedelinin bakiye % 50'lik bölümü </w:t>
            </w:r>
            <w:r w:rsidR="007D3219" w:rsidRPr="007D321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tr-TR"/>
              </w:rPr>
              <w:t>30</w:t>
            </w:r>
            <w:r w:rsidR="00FE1E1E" w:rsidRPr="007D321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tr-TR"/>
              </w:rPr>
              <w:t xml:space="preserve"> Eylül 20</w:t>
            </w:r>
            <w:r w:rsidRPr="007D321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tr-TR"/>
              </w:rPr>
              <w:t>15</w:t>
            </w:r>
            <w:r w:rsidRPr="007D321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</w:p>
          <w:p w:rsidR="00DA597A" w:rsidRDefault="008B6F0D" w:rsidP="00083D35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Tarihinde </w:t>
            </w:r>
            <w:r w:rsidR="00DA597A"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ödenecektir. </w:t>
            </w:r>
          </w:p>
          <w:p w:rsidR="005C7027" w:rsidRPr="0018559D" w:rsidRDefault="005C7027" w:rsidP="00083D35">
            <w:pPr>
              <w:spacing w:after="100" w:afterAutospacing="1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</w:p>
          <w:p w:rsidR="00DA597A" w:rsidRPr="00EF6F8E" w:rsidRDefault="00DA597A" w:rsidP="007475C8">
            <w:pPr>
              <w:pStyle w:val="ListeParagraf"/>
              <w:numPr>
                <w:ilvl w:val="0"/>
                <w:numId w:val="2"/>
              </w:num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EF6F8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FUARDA SINIRLI SAYIDA YER OLMASI SEBEBİYLE KATILIMCILARA KAYIT ÖNCELİĞİNE GÖRE YER VERİLECEKTİR</w:t>
            </w:r>
          </w:p>
          <w:p w:rsidR="005C7027" w:rsidRPr="0018559D" w:rsidRDefault="005C7027" w:rsidP="005C702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</w:p>
          <w:p w:rsidR="005C7027" w:rsidRDefault="005C7027" w:rsidP="005C702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</w:pP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“2009/5 sayılı Yurtdışı Fuar Katılımlarının Desteklenmesine İlişkin Tebliğ’</w:t>
            </w:r>
            <w:r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i ile</w:t>
            </w: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ilgili mevzuatta belirtilen şartları süresinde yerinde getirmiş olmaları kaydıyla Yurt dışı fuar organizasyonlarında, katılımcıların </w:t>
            </w:r>
            <w:proofErr w:type="spellStart"/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standlarında</w:t>
            </w:r>
            <w:proofErr w:type="spellEnd"/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görevlendireceği 50 m2 </w:t>
            </w:r>
            <w:proofErr w:type="spellStart"/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lik</w:t>
            </w:r>
            <w:proofErr w:type="spellEnd"/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alana kadar (50 m2 </w:t>
            </w:r>
            <w:proofErr w:type="gramStart"/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dahil</w:t>
            </w:r>
            <w:proofErr w:type="gramEnd"/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) en fazla iki temsilcinin, 50 m2 üzerinde ise en fazla üç temsilcinin ekonomi sınıfı gidiş-dönüş ulaşım masraflarının ve katılım bedeli esas alınarak hesaplanan destek tutarını aşmamak kaydıyla katılımcı tarafından organizatöre ödenen fatura tutarının %50’si destek kapsamında katılımcıya ödenir.</w:t>
            </w:r>
            <w:r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</w:t>
            </w:r>
          </w:p>
          <w:p w:rsidR="005C7027" w:rsidRPr="005C7027" w:rsidRDefault="005C7027" w:rsidP="005C702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Ancak, toplam destek</w:t>
            </w: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tutarı 1</w:t>
            </w:r>
            <w:r w:rsidR="00FE1E1E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0</w:t>
            </w: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.000 ABD Doların</w:t>
            </w:r>
            <w:r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a kadardır. </w:t>
            </w: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(</w:t>
            </w:r>
            <w:proofErr w:type="spellStart"/>
            <w:r w:rsidR="00FE1E1E" w:rsidRPr="00FE1E1E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TojExpo</w:t>
            </w:r>
            <w:proofErr w:type="spellEnd"/>
            <w:r w:rsidR="00FE1E1E" w:rsidRPr="00FE1E1E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E1E1E" w:rsidRPr="00FE1E1E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Autumn</w:t>
            </w:r>
            <w:proofErr w:type="spellEnd"/>
            <w:r w:rsidR="00FE1E1E" w:rsidRPr="00FE1E1E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2015 </w:t>
            </w: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Fuarı, </w:t>
            </w:r>
            <w:r w:rsidR="00FE1E1E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Genel ticaret fuarı olduğundan</w:t>
            </w: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devlet desteğinden faydalanılacak tutar </w:t>
            </w:r>
            <w:r w:rsidR="00FE1E1E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1</w:t>
            </w: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0.000 ABD Doların</w:t>
            </w:r>
            <w:r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a kadardır</w:t>
            </w:r>
            <w:r w:rsidRPr="00FE1E1E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.)</w:t>
            </w:r>
          </w:p>
          <w:p w:rsidR="005C7027" w:rsidRPr="005C7027" w:rsidRDefault="00810F70" w:rsidP="005C702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Fuar </w:t>
            </w:r>
            <w:r w:rsidR="005C7027"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katılım bedelinin tamamının şirket adına </w:t>
            </w:r>
            <w:r w:rsidR="005C7027" w:rsidRPr="005C702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“şirket hesabından EFT veya şirket hesabından banka havalesi ile” </w:t>
            </w:r>
            <w:r w:rsidR="005C7027"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aşağıda belirtilen BAİB hesabına belirtilen tarihlere kadar ödenmesi gerekmektedir. Katılımcı, ödediği katılım payını bankacılık sistemiyle (havale-EFT dekon</w:t>
            </w:r>
            <w:r w:rsidR="001B6D5A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tu veya </w:t>
            </w:r>
            <w:proofErr w:type="gramStart"/>
            <w:r w:rsidR="001B6D5A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swift</w:t>
            </w:r>
            <w:proofErr w:type="gramEnd"/>
            <w:r w:rsidR="001B6D5A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mesajı) belgelemeli</w:t>
            </w:r>
            <w:r w:rsidR="005C7027"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ve bu belgenin</w:t>
            </w:r>
            <w:r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banka tarafından kaşeli-imzalı</w:t>
            </w:r>
            <w:r w:rsidR="005C7027"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 bir suretini Batı Akdeniz İhracatçılar Birliği</w:t>
            </w:r>
            <w:r w:rsidR="00606A3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’</w:t>
            </w:r>
            <w:r w:rsidR="005C7027"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ne (BAİB) </w:t>
            </w:r>
            <w:r w:rsidR="00606A3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iletmelidir</w:t>
            </w:r>
            <w:r w:rsid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. </w:t>
            </w:r>
          </w:p>
          <w:p w:rsidR="005C7027" w:rsidRDefault="005C7027" w:rsidP="005C702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 xml:space="preserve">Katılım bedeli taksitlerinin ödemelerinde senet veya bankaya/vezneye elden ödeme </w:t>
            </w:r>
            <w:r w:rsidRPr="005C7027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kabul edilmemektedir.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 </w:t>
            </w:r>
            <w:r w:rsidRPr="005C702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  <w:t>Ayrıca,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 şahıs şirketleri destekten faydalanamamaktadır.</w:t>
            </w:r>
          </w:p>
          <w:p w:rsidR="005C7027" w:rsidRPr="005C7027" w:rsidRDefault="005C7027" w:rsidP="005C70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tr-TR"/>
              </w:rPr>
            </w:pPr>
          </w:p>
          <w:p w:rsidR="005C7027" w:rsidRDefault="005C7027" w:rsidP="005C702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(Banka dekontlarında </w:t>
            </w:r>
            <w:r w:rsidR="00EC77AE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katılımcı firmanın ismi, hesap numarası, İBAN numarası, BAİB ‘in hesap numarası </w:t>
            </w:r>
            <w:proofErr w:type="spellStart"/>
            <w:r w:rsidR="00EC77AE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BAİB’in</w:t>
            </w:r>
            <w:proofErr w:type="spellEnd"/>
            <w:r w:rsidR="00EC77AE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İBAN </w:t>
            </w:r>
            <w:proofErr w:type="gramStart"/>
            <w:r w:rsidR="00EC77AE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numarası  ile</w:t>
            </w:r>
            <w:proofErr w:type="gramEnd"/>
            <w:r w:rsidR="00EC77AE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“</w:t>
            </w:r>
            <w:proofErr w:type="spellStart"/>
            <w:r w:rsidR="00FE1E1E" w:rsidRPr="00FE1E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TojExpo</w:t>
            </w:r>
            <w:proofErr w:type="spellEnd"/>
            <w:r w:rsidR="00FE1E1E" w:rsidRPr="00FE1E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E1E1E" w:rsidRPr="00FE1E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Autumn</w:t>
            </w:r>
            <w:proofErr w:type="spellEnd"/>
            <w:r w:rsidR="00FE1E1E" w:rsidRPr="00FE1E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2015 </w:t>
            </w:r>
            <w:r w:rsidR="00EC77AE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BAİB Milli  katılım bedeli”</w:t>
            </w:r>
            <w:r w:rsidR="00B57DCE" w:rsidRPr="00F10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ibaresi yer almalıdır. Katılım bedeli taksitlerinin ödemelerinde yürürlükteki mevzuat gereği senet veya bankaya/vezneye elden ödeme kabul edilmemektedir.</w:t>
            </w:r>
            <w:r w:rsidR="00F67129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Devlet desteğinden faydalanılabilmesi için b</w:t>
            </w:r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anka tarafından imzalanmış ve kaşelenmiş </w:t>
            </w:r>
            <w:proofErr w:type="gramStart"/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dekont</w:t>
            </w:r>
            <w:proofErr w:type="gramEnd"/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/swift </w:t>
            </w:r>
            <w:r w:rsidR="001C1844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asıllarının</w:t>
            </w:r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8410E3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geç fuar bitimini müteakip 3 ay içerisinde</w:t>
            </w:r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BAİB’e</w:t>
            </w:r>
            <w:proofErr w:type="spellEnd"/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F67129"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iletilmesi gereklidir</w:t>
            </w:r>
            <w:r w:rsidRPr="00F106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.)</w:t>
            </w:r>
          </w:p>
          <w:p w:rsidR="00DA597A" w:rsidRPr="00162CCE" w:rsidRDefault="00DA597A" w:rsidP="007475C8">
            <w:pPr>
              <w:pStyle w:val="ListeParagraf"/>
              <w:numPr>
                <w:ilvl w:val="0"/>
                <w:numId w:val="2"/>
              </w:num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162CC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tr-TR"/>
              </w:rPr>
              <w:t xml:space="preserve">Son Başvuru: </w:t>
            </w:r>
            <w:r w:rsidR="00162CC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tr-TR"/>
              </w:rPr>
              <w:t>28</w:t>
            </w:r>
            <w:r w:rsidR="00FE1E1E" w:rsidRPr="00162CC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tr-TR"/>
              </w:rPr>
              <w:t xml:space="preserve"> Ağustos</w:t>
            </w:r>
            <w:r w:rsidRPr="00162CC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tr-TR"/>
              </w:rPr>
              <w:t xml:space="preserve"> 2015</w:t>
            </w:r>
          </w:p>
          <w:p w:rsidR="00FE1E1E" w:rsidRDefault="00DA597A" w:rsidP="00A20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AYRINTILI BİLGİ İÇİN: </w:t>
            </w:r>
          </w:p>
          <w:p w:rsidR="00FE1E1E" w:rsidRDefault="009B5F6A" w:rsidP="00A20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hyperlink r:id="rId10" w:history="1">
              <w:r w:rsidR="00FE1E1E" w:rsidRPr="00C65F63">
                <w:rPr>
                  <w:rFonts w:ascii="Arial" w:eastAsia="Times New Roman" w:hAnsi="Arial" w:cs="Arial"/>
                  <w:b/>
                  <w:bCs/>
                  <w:color w:val="444444"/>
                  <w:sz w:val="18"/>
                  <w:szCs w:val="18"/>
                  <w:lang w:eastAsia="tr-TR"/>
                </w:rPr>
                <w:t>Tel:0242</w:t>
              </w:r>
            </w:hyperlink>
            <w:r w:rsidR="00FE1E1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 311 80 00</w:t>
            </w:r>
            <w:r w:rsidR="00FE1E1E"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 </w:t>
            </w:r>
          </w:p>
          <w:p w:rsidR="00FE1E1E" w:rsidRDefault="00FE1E1E" w:rsidP="00A20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Anıl YILMAZ, </w:t>
            </w:r>
            <w:hyperlink r:id="rId11" w:history="1">
              <w:r w:rsidRPr="00725151">
                <w:rPr>
                  <w:rStyle w:val="Kpr"/>
                  <w:rFonts w:ascii="Arial" w:eastAsia="Times New Roman" w:hAnsi="Arial" w:cs="Arial"/>
                  <w:b/>
                  <w:bCs/>
                  <w:sz w:val="18"/>
                  <w:szCs w:val="18"/>
                  <w:lang w:eastAsia="tr-TR"/>
                </w:rPr>
                <w:t>yilmaza@baib.gov.tr</w:t>
              </w:r>
            </w:hyperlink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, </w:t>
            </w: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(</w:t>
            </w:r>
            <w:proofErr w:type="gramStart"/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dahili</w:t>
            </w:r>
            <w:proofErr w:type="gramEnd"/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:1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308</w:t>
            </w: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)</w:t>
            </w:r>
          </w:p>
          <w:p w:rsidR="00DA597A" w:rsidRPr="0018559D" w:rsidRDefault="00DA597A" w:rsidP="00A2081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Nedret TOSUN</w:t>
            </w: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  <w:lang w:eastAsia="tr-TR"/>
              </w:rPr>
              <w:t>tosunn@baib.gov</w:t>
            </w:r>
            <w:r w:rsidRPr="00C65F6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.tr</w:t>
            </w: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, (</w:t>
            </w:r>
            <w:proofErr w:type="gramStart"/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dahili</w:t>
            </w:r>
            <w:proofErr w:type="gramEnd"/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:1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310</w:t>
            </w:r>
            <w:r w:rsidRPr="0018559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)</w:t>
            </w:r>
          </w:p>
          <w:p w:rsidR="00A20812" w:rsidRDefault="00A20812" w:rsidP="00A20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</w:pPr>
          </w:p>
          <w:p w:rsidR="00083D35" w:rsidRPr="0018559D" w:rsidRDefault="006B7F99" w:rsidP="00A2081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</w:pPr>
            <w:r w:rsidRPr="006B7F99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tr-TR"/>
              </w:rPr>
              <w:t>Ek: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 xml:space="preserve"> </w:t>
            </w:r>
            <w:r w:rsidR="00DA597A" w:rsidRPr="0018559D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 xml:space="preserve">Başvuru Formu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>(2 Sayfa)</w:t>
            </w:r>
          </w:p>
        </w:tc>
      </w:tr>
    </w:tbl>
    <w:p w:rsidR="00DA597A" w:rsidRDefault="00DA597A" w:rsidP="00DA597A"/>
    <w:p w:rsidR="005C7027" w:rsidRDefault="005C7027" w:rsidP="00DA597A">
      <w:pPr>
        <w:rPr>
          <w:b/>
        </w:rPr>
      </w:pPr>
    </w:p>
    <w:p w:rsidR="005C7027" w:rsidRPr="006B7F99" w:rsidRDefault="005C7027" w:rsidP="005C7027">
      <w:pPr>
        <w:jc w:val="center"/>
        <w:rPr>
          <w:b/>
          <w:u w:val="single"/>
        </w:rPr>
      </w:pPr>
      <w:r w:rsidRPr="006B7F99">
        <w:rPr>
          <w:b/>
          <w:u w:val="single"/>
        </w:rPr>
        <w:t>Yurt dışı Fuar Organizasyon Belgesi</w:t>
      </w:r>
    </w:p>
    <w:p w:rsidR="005C7027" w:rsidRDefault="005C7027" w:rsidP="005C7027">
      <w:pPr>
        <w:jc w:val="both"/>
      </w:pPr>
      <w:r>
        <w:t>Genel Sekreterliğimiz Yurt Dışında Fuar Düzenlenmesi ve Değerlendirilmesine İlişkin 2010/5 Sayılı Tebliğ’in 11’nci maddesi çerçevesinde 2015 yılı için Geçici Belge Sınıfı Yurt Dışı Fuar Organizatörü Belgesine sahiptir.</w:t>
      </w:r>
      <w:r w:rsidR="00071D8D">
        <w:t xml:space="preserve"> </w:t>
      </w:r>
    </w:p>
    <w:p w:rsidR="00071D8D" w:rsidRPr="009F543A" w:rsidRDefault="00071D8D" w:rsidP="005C7027">
      <w:pPr>
        <w:jc w:val="both"/>
      </w:pPr>
      <w:r w:rsidRPr="009F543A">
        <w:t>Belge Düzenlenme Tarihi: 09.03.2015</w:t>
      </w:r>
    </w:p>
    <w:p w:rsidR="00E25304" w:rsidRDefault="00071D8D" w:rsidP="00A20812">
      <w:pPr>
        <w:jc w:val="both"/>
      </w:pPr>
      <w:r w:rsidRPr="009F543A">
        <w:t xml:space="preserve">Belge </w:t>
      </w:r>
      <w:proofErr w:type="gramStart"/>
      <w:r w:rsidR="0088306E">
        <w:t>Numarası</w:t>
      </w:r>
      <w:r w:rsidR="00704DA8">
        <w:t xml:space="preserve"> </w:t>
      </w:r>
      <w:r w:rsidRPr="009F543A">
        <w:t>: GB</w:t>
      </w:r>
      <w:proofErr w:type="gramEnd"/>
      <w:r w:rsidRPr="009F543A">
        <w:t>-2015/1</w:t>
      </w:r>
    </w:p>
    <w:sectPr w:rsidR="00E25304" w:rsidSect="0078755B">
      <w:headerReference w:type="default" r:id="rId12"/>
      <w:pgSz w:w="11906" w:h="16838"/>
      <w:pgMar w:top="38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5F" w:rsidRDefault="00545C5F" w:rsidP="005755E5">
      <w:pPr>
        <w:spacing w:after="0" w:line="240" w:lineRule="auto"/>
      </w:pPr>
      <w:r>
        <w:separator/>
      </w:r>
    </w:p>
  </w:endnote>
  <w:endnote w:type="continuationSeparator" w:id="0">
    <w:p w:rsidR="00545C5F" w:rsidRDefault="00545C5F" w:rsidP="0057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5F" w:rsidRDefault="00545C5F" w:rsidP="005755E5">
      <w:pPr>
        <w:spacing w:after="0" w:line="240" w:lineRule="auto"/>
      </w:pPr>
      <w:r>
        <w:separator/>
      </w:r>
    </w:p>
  </w:footnote>
  <w:footnote w:type="continuationSeparator" w:id="0">
    <w:p w:rsidR="00545C5F" w:rsidRDefault="00545C5F" w:rsidP="0057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8"/>
      <w:gridCol w:w="4961"/>
      <w:gridCol w:w="2098"/>
    </w:tblGrid>
    <w:tr w:rsidR="006B4890" w:rsidTr="00BE68B2">
      <w:tc>
        <w:tcPr>
          <w:tcW w:w="2098" w:type="dxa"/>
          <w:vAlign w:val="center"/>
        </w:tcPr>
        <w:p w:rsidR="006B4890" w:rsidRDefault="006B4890" w:rsidP="0078755B">
          <w:pPr>
            <w:spacing w:before="100" w:beforeAutospacing="1" w:after="100" w:afterAutospacing="1"/>
            <w:jc w:val="center"/>
            <w:outlineLvl w:val="0"/>
            <w:rPr>
              <w:rFonts w:ascii="Arial" w:eastAsia="Times New Roman" w:hAnsi="Arial" w:cs="Arial"/>
              <w:b/>
              <w:bCs/>
              <w:color w:val="000000"/>
              <w:kern w:val="36"/>
              <w:sz w:val="36"/>
              <w:szCs w:val="36"/>
              <w:lang w:eastAsia="tr-TR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000000"/>
              <w:kern w:val="36"/>
              <w:sz w:val="36"/>
              <w:szCs w:val="36"/>
              <w:lang w:eastAsia="tr-TR"/>
            </w:rPr>
            <w:drawing>
              <wp:inline distT="0" distB="0" distL="0" distR="0" wp14:anchorId="6F3452C6" wp14:editId="45585F34">
                <wp:extent cx="1080000" cy="712800"/>
                <wp:effectExtent l="0" t="0" r="635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iblogo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6B4890" w:rsidRPr="00BE68B2" w:rsidRDefault="006B4890" w:rsidP="00083D35">
          <w:pPr>
            <w:jc w:val="center"/>
            <w:outlineLvl w:val="0"/>
            <w:rPr>
              <w:rFonts w:ascii="Arial" w:eastAsia="Times New Roman" w:hAnsi="Arial" w:cs="Arial"/>
              <w:b/>
              <w:bCs/>
              <w:color w:val="000000"/>
              <w:kern w:val="36"/>
              <w:sz w:val="24"/>
              <w:szCs w:val="24"/>
              <w:lang w:eastAsia="tr-TR"/>
            </w:rPr>
          </w:pPr>
          <w:r w:rsidRPr="00BE68B2">
            <w:rPr>
              <w:rFonts w:ascii="Arial" w:eastAsia="Times New Roman" w:hAnsi="Arial" w:cs="Arial"/>
              <w:b/>
              <w:bCs/>
              <w:color w:val="000000"/>
              <w:kern w:val="36"/>
              <w:sz w:val="24"/>
              <w:szCs w:val="24"/>
              <w:lang w:eastAsia="tr-TR"/>
            </w:rPr>
            <w:t>BATI AKDENİZ İHRACATÇILAR BİRLİĞİ</w:t>
          </w:r>
        </w:p>
        <w:p w:rsidR="006B4890" w:rsidRPr="00BE68B2" w:rsidRDefault="006B4890" w:rsidP="00083D35">
          <w:pPr>
            <w:jc w:val="center"/>
            <w:outlineLvl w:val="0"/>
            <w:rPr>
              <w:rFonts w:ascii="Arial" w:eastAsia="Times New Roman" w:hAnsi="Arial" w:cs="Arial"/>
              <w:b/>
              <w:bCs/>
              <w:color w:val="000000"/>
              <w:kern w:val="36"/>
              <w:sz w:val="24"/>
              <w:szCs w:val="24"/>
              <w:lang w:eastAsia="tr-TR"/>
            </w:rPr>
          </w:pPr>
          <w:r w:rsidRPr="00BE68B2">
            <w:rPr>
              <w:rFonts w:ascii="Arial" w:eastAsia="Times New Roman" w:hAnsi="Arial" w:cs="Arial"/>
              <w:b/>
              <w:bCs/>
              <w:color w:val="000000"/>
              <w:kern w:val="36"/>
              <w:sz w:val="24"/>
              <w:szCs w:val="24"/>
              <w:lang w:eastAsia="tr-TR"/>
            </w:rPr>
            <w:t>GENEL SEKRETERLİĞİ</w:t>
          </w:r>
        </w:p>
        <w:p w:rsidR="006B4890" w:rsidRPr="00DA597A" w:rsidRDefault="006B4890" w:rsidP="00083D35">
          <w:pPr>
            <w:jc w:val="center"/>
            <w:outlineLvl w:val="0"/>
            <w:rPr>
              <w:rFonts w:ascii="Arial" w:eastAsia="Times New Roman" w:hAnsi="Arial" w:cs="Arial"/>
              <w:b/>
              <w:bCs/>
              <w:color w:val="000000"/>
              <w:kern w:val="36"/>
              <w:sz w:val="26"/>
              <w:szCs w:val="26"/>
              <w:lang w:eastAsia="tr-TR"/>
            </w:rPr>
          </w:pPr>
          <w:r w:rsidRPr="00BE68B2">
            <w:rPr>
              <w:rFonts w:ascii="Arial" w:eastAsia="Times New Roman" w:hAnsi="Arial" w:cs="Arial"/>
              <w:b/>
              <w:bCs/>
              <w:color w:val="000000"/>
              <w:kern w:val="36"/>
              <w:sz w:val="24"/>
              <w:szCs w:val="24"/>
              <w:lang w:eastAsia="tr-TR"/>
            </w:rPr>
            <w:t>MİLLİ KATILIM FUAR ORGANİZASYONU</w:t>
          </w:r>
        </w:p>
      </w:tc>
      <w:tc>
        <w:tcPr>
          <w:tcW w:w="2098" w:type="dxa"/>
          <w:vAlign w:val="center"/>
        </w:tcPr>
        <w:p w:rsidR="006B4890" w:rsidRDefault="006B4890" w:rsidP="00BE68B2">
          <w:pPr>
            <w:spacing w:before="100" w:beforeAutospacing="1" w:after="100" w:afterAutospacing="1"/>
            <w:jc w:val="center"/>
            <w:outlineLvl w:val="0"/>
            <w:rPr>
              <w:rFonts w:ascii="Arial" w:eastAsia="Times New Roman" w:hAnsi="Arial" w:cs="Arial"/>
              <w:b/>
              <w:bCs/>
              <w:color w:val="000000"/>
              <w:kern w:val="36"/>
              <w:sz w:val="36"/>
              <w:szCs w:val="36"/>
              <w:lang w:eastAsia="tr-TR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000000"/>
              <w:kern w:val="36"/>
              <w:sz w:val="36"/>
              <w:szCs w:val="36"/>
              <w:lang w:eastAsia="tr-TR"/>
            </w:rPr>
            <w:drawing>
              <wp:inline distT="0" distB="0" distL="0" distR="0" wp14:anchorId="6A492FAB" wp14:editId="14B6B4E6">
                <wp:extent cx="1080000" cy="1083600"/>
                <wp:effectExtent l="0" t="0" r="635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konomi bakanlığı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B4890" w:rsidRDefault="006B4890" w:rsidP="00EE22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9pt;height:9pt" o:bullet="t">
        <v:imagedata r:id="rId1" o:title="BD14868_"/>
      </v:shape>
    </w:pict>
  </w:numPicBullet>
  <w:numPicBullet w:numPicBulletId="1">
    <w:pict>
      <v:shape id="_x0000_i1176" type="#_x0000_t75" style="width:9pt;height:9pt" o:bullet="t">
        <v:imagedata r:id="rId2" o:title="BD14792_"/>
      </v:shape>
    </w:pict>
  </w:numPicBullet>
  <w:abstractNum w:abstractNumId="0">
    <w:nsid w:val="03E63F9C"/>
    <w:multiLevelType w:val="multilevel"/>
    <w:tmpl w:val="B81A4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C5192"/>
    <w:multiLevelType w:val="hybridMultilevel"/>
    <w:tmpl w:val="04CAF20C"/>
    <w:lvl w:ilvl="0" w:tplc="7EBA10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27039"/>
    <w:multiLevelType w:val="hybridMultilevel"/>
    <w:tmpl w:val="81BA2B50"/>
    <w:lvl w:ilvl="0" w:tplc="7EBA10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7A"/>
    <w:rsid w:val="00071D8D"/>
    <w:rsid w:val="00083D35"/>
    <w:rsid w:val="00086343"/>
    <w:rsid w:val="001356D0"/>
    <w:rsid w:val="00162CCE"/>
    <w:rsid w:val="001B6D5A"/>
    <w:rsid w:val="001C1844"/>
    <w:rsid w:val="00250E55"/>
    <w:rsid w:val="003E415F"/>
    <w:rsid w:val="0046190E"/>
    <w:rsid w:val="004711F7"/>
    <w:rsid w:val="00486615"/>
    <w:rsid w:val="004C0ADD"/>
    <w:rsid w:val="004E6BF6"/>
    <w:rsid w:val="00543355"/>
    <w:rsid w:val="00545C5F"/>
    <w:rsid w:val="005755E5"/>
    <w:rsid w:val="0057688C"/>
    <w:rsid w:val="005C7027"/>
    <w:rsid w:val="00606A3D"/>
    <w:rsid w:val="006B4890"/>
    <w:rsid w:val="006B7F99"/>
    <w:rsid w:val="006E249A"/>
    <w:rsid w:val="00704DA8"/>
    <w:rsid w:val="007177F3"/>
    <w:rsid w:val="007475C8"/>
    <w:rsid w:val="0078755B"/>
    <w:rsid w:val="007A0B46"/>
    <w:rsid w:val="007D3219"/>
    <w:rsid w:val="007D657F"/>
    <w:rsid w:val="007F5672"/>
    <w:rsid w:val="00810F70"/>
    <w:rsid w:val="008410E3"/>
    <w:rsid w:val="00873E91"/>
    <w:rsid w:val="0088306E"/>
    <w:rsid w:val="008860C8"/>
    <w:rsid w:val="008B6F0D"/>
    <w:rsid w:val="008C1995"/>
    <w:rsid w:val="008D47DF"/>
    <w:rsid w:val="00905C46"/>
    <w:rsid w:val="00906F82"/>
    <w:rsid w:val="009232C4"/>
    <w:rsid w:val="0093099C"/>
    <w:rsid w:val="00936316"/>
    <w:rsid w:val="009A00A1"/>
    <w:rsid w:val="009B5F6A"/>
    <w:rsid w:val="009F543A"/>
    <w:rsid w:val="00A20812"/>
    <w:rsid w:val="00A31F67"/>
    <w:rsid w:val="00A86272"/>
    <w:rsid w:val="00B13257"/>
    <w:rsid w:val="00B57DCE"/>
    <w:rsid w:val="00B71B3F"/>
    <w:rsid w:val="00BA4E3F"/>
    <w:rsid w:val="00BE68B2"/>
    <w:rsid w:val="00C82F65"/>
    <w:rsid w:val="00D04276"/>
    <w:rsid w:val="00D57056"/>
    <w:rsid w:val="00DA597A"/>
    <w:rsid w:val="00DF1414"/>
    <w:rsid w:val="00E2034B"/>
    <w:rsid w:val="00E25304"/>
    <w:rsid w:val="00EC77AE"/>
    <w:rsid w:val="00EE22DB"/>
    <w:rsid w:val="00EF6F8E"/>
    <w:rsid w:val="00F1062D"/>
    <w:rsid w:val="00F402BB"/>
    <w:rsid w:val="00F40CB7"/>
    <w:rsid w:val="00F466F5"/>
    <w:rsid w:val="00F67129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9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7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55E5"/>
  </w:style>
  <w:style w:type="paragraph" w:styleId="Altbilgi">
    <w:name w:val="footer"/>
    <w:basedOn w:val="Normal"/>
    <w:link w:val="AltbilgiChar"/>
    <w:uiPriority w:val="99"/>
    <w:unhideWhenUsed/>
    <w:rsid w:val="0057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55E5"/>
  </w:style>
  <w:style w:type="paragraph" w:styleId="ListeParagraf">
    <w:name w:val="List Paragraph"/>
    <w:basedOn w:val="Normal"/>
    <w:uiPriority w:val="34"/>
    <w:qFormat/>
    <w:rsid w:val="007475C8"/>
    <w:pPr>
      <w:ind w:left="720"/>
      <w:contextualSpacing/>
    </w:pPr>
  </w:style>
  <w:style w:type="character" w:styleId="Kpr">
    <w:name w:val="Hyperlink"/>
    <w:rsid w:val="0078755B"/>
    <w:rPr>
      <w:rFonts w:ascii="Times New Roman" w:hAnsi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48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9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7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55E5"/>
  </w:style>
  <w:style w:type="paragraph" w:styleId="Altbilgi">
    <w:name w:val="footer"/>
    <w:basedOn w:val="Normal"/>
    <w:link w:val="AltbilgiChar"/>
    <w:uiPriority w:val="99"/>
    <w:unhideWhenUsed/>
    <w:rsid w:val="0057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55E5"/>
  </w:style>
  <w:style w:type="paragraph" w:styleId="ListeParagraf">
    <w:name w:val="List Paragraph"/>
    <w:basedOn w:val="Normal"/>
    <w:uiPriority w:val="34"/>
    <w:qFormat/>
    <w:rsid w:val="007475C8"/>
    <w:pPr>
      <w:ind w:left="720"/>
      <w:contextualSpacing/>
    </w:pPr>
  </w:style>
  <w:style w:type="character" w:styleId="Kpr">
    <w:name w:val="Hyperlink"/>
    <w:rsid w:val="0078755B"/>
    <w:rPr>
      <w:rFonts w:ascii="Times New Roman" w:hAnsi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48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ilmaza@baib.gov.tr" TargetMode="External"/><Relationship Id="rId5" Type="http://schemas.openxmlformats.org/officeDocument/2006/relationships/settings" Target="settings.xml"/><Relationship Id="rId10" Type="http://schemas.openxmlformats.org/officeDocument/2006/relationships/hyperlink" Target="Tel:02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C32D-39DD-44E4-BDEF-001EA68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4</cp:revision>
  <cp:lastPrinted>2015-06-08T12:25:00Z</cp:lastPrinted>
  <dcterms:created xsi:type="dcterms:W3CDTF">2015-07-09T09:20:00Z</dcterms:created>
  <dcterms:modified xsi:type="dcterms:W3CDTF">2015-07-10T07:10:00Z</dcterms:modified>
</cp:coreProperties>
</file>